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AC7A" w14:textId="0E08ED8C" w:rsidR="005948BB" w:rsidRDefault="00607B22" w:rsidP="005A2EFF">
      <w:pPr>
        <w:spacing w:after="0" w:line="23" w:lineRule="atLeast"/>
        <w:contextualSpacing/>
        <w:jc w:val="center"/>
        <w:rPr>
          <w:rFonts w:ascii="Neo Sans Pro" w:eastAsia="Times New Roman" w:hAnsi="Neo Sans Pro"/>
          <w:b/>
          <w:sz w:val="24"/>
          <w:szCs w:val="24"/>
          <w:lang w:eastAsia="pl-PL"/>
        </w:rPr>
      </w:pPr>
      <w:r>
        <w:rPr>
          <w:rFonts w:ascii="Neo Sans Pro" w:eastAsia="Times New Roman" w:hAnsi="Neo Sans Pro"/>
          <w:b/>
          <w:sz w:val="24"/>
          <w:szCs w:val="24"/>
          <w:lang w:eastAsia="pl-PL"/>
        </w:rPr>
        <w:t>SPOSÓB ODNIESIENIA DO</w:t>
      </w:r>
      <w:r w:rsidR="00AF2D66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 UWAG I WNIOSKÓW </w:t>
      </w:r>
      <w:r w:rsidR="00AF2D66" w:rsidRPr="003C5E5A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DO </w:t>
      </w:r>
      <w:r w:rsidR="004C0164" w:rsidRPr="003C5E5A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PROJEKTU </w:t>
      </w:r>
      <w:r w:rsidR="004C0164" w:rsidRPr="004C0164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DOKUMENTU - „AKTUALIZACJA </w:t>
      </w:r>
      <w:r w:rsidR="00BA3178">
        <w:rPr>
          <w:rFonts w:ascii="Neo Sans Pro" w:eastAsia="Times New Roman" w:hAnsi="Neo Sans Pro"/>
          <w:b/>
          <w:sz w:val="24"/>
          <w:szCs w:val="24"/>
          <w:lang w:eastAsia="pl-PL"/>
        </w:rPr>
        <w:t>ZAŁOŻEŃ DO PLANU ZAOPATRZENIA W </w:t>
      </w:r>
      <w:r w:rsidR="004C0164" w:rsidRPr="004C0164">
        <w:rPr>
          <w:rFonts w:ascii="Neo Sans Pro" w:eastAsia="Times New Roman" w:hAnsi="Neo Sans Pro"/>
          <w:b/>
          <w:sz w:val="24"/>
          <w:szCs w:val="24"/>
          <w:lang w:eastAsia="pl-PL"/>
        </w:rPr>
        <w:t>CIEPŁO, ENERGIĘ ELEKTRYCZNĄ I PALIWA GAZOWE GMINY MIASTA RADOM NA LATA 2017 - 2031”</w:t>
      </w:r>
    </w:p>
    <w:p w14:paraId="5AA1031E" w14:textId="77777777" w:rsidR="00E21AB0" w:rsidRPr="005A2EFF" w:rsidRDefault="00E21AB0" w:rsidP="005A2EFF">
      <w:pPr>
        <w:spacing w:after="0" w:line="23" w:lineRule="atLeast"/>
        <w:contextualSpacing/>
        <w:jc w:val="center"/>
        <w:rPr>
          <w:rFonts w:ascii="Neo Sans Pro" w:hAnsi="Neo Sans Pro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2006"/>
        <w:gridCol w:w="2401"/>
        <w:gridCol w:w="4542"/>
        <w:gridCol w:w="4542"/>
      </w:tblGrid>
      <w:tr w:rsidR="00AC610F" w:rsidRPr="00F650B8" w14:paraId="19A44754" w14:textId="772B112F" w:rsidTr="00AC610F">
        <w:trPr>
          <w:trHeight w:val="1057"/>
          <w:jc w:val="center"/>
        </w:trPr>
        <w:tc>
          <w:tcPr>
            <w:tcW w:w="179" w:type="pct"/>
            <w:shd w:val="clear" w:color="auto" w:fill="8DB3E2"/>
            <w:tcMar>
              <w:left w:w="0" w:type="dxa"/>
              <w:right w:w="0" w:type="dxa"/>
            </w:tcMar>
            <w:vAlign w:val="center"/>
          </w:tcPr>
          <w:p w14:paraId="11F8C114" w14:textId="77777777" w:rsidR="00AC610F" w:rsidRPr="00703977" w:rsidRDefault="00AC610F" w:rsidP="00460DEB">
            <w:pPr>
              <w:spacing w:after="0" w:line="23" w:lineRule="atLeast"/>
              <w:contextualSpacing/>
              <w:rPr>
                <w:rFonts w:ascii="Neo Sans Pro" w:eastAsia="Times New Roman" w:hAnsi="Neo Sans Pro"/>
                <w:b/>
                <w:smallCaps/>
                <w:lang w:eastAsia="pl-PL"/>
              </w:rPr>
            </w:pPr>
            <w:bookmarkStart w:id="0" w:name="_Hlk44511270"/>
            <w:r w:rsidRPr="00703977">
              <w:rPr>
                <w:rFonts w:ascii="Neo Sans Pro" w:eastAsia="Times New Roman" w:hAnsi="Neo Sans Pro"/>
                <w:b/>
                <w:smallCaps/>
                <w:lang w:eastAsia="pl-PL"/>
              </w:rPr>
              <w:t>Lp.</w:t>
            </w:r>
          </w:p>
        </w:tc>
        <w:tc>
          <w:tcPr>
            <w:tcW w:w="717" w:type="pct"/>
            <w:shd w:val="clear" w:color="auto" w:fill="8DB3E2"/>
            <w:tcMar>
              <w:left w:w="0" w:type="dxa"/>
              <w:right w:w="0" w:type="dxa"/>
            </w:tcMar>
            <w:vAlign w:val="center"/>
          </w:tcPr>
          <w:p w14:paraId="0F13E061" w14:textId="77777777" w:rsidR="00AC610F" w:rsidRPr="00703977" w:rsidRDefault="00AC610F" w:rsidP="001236EE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/>
                <w:lang w:eastAsia="pl-PL"/>
              </w:rPr>
            </w:pPr>
            <w:r w:rsidRPr="00703977">
              <w:rPr>
                <w:rFonts w:ascii="Neo Sans Pro" w:eastAsia="Times New Roman" w:hAnsi="Neo Sans Pro"/>
                <w:b/>
                <w:lang w:eastAsia="pl-PL"/>
              </w:rPr>
              <w:t>Część dokumentu, do którego odnosi się uwaga lub wniosek</w:t>
            </w:r>
          </w:p>
        </w:tc>
        <w:tc>
          <w:tcPr>
            <w:tcW w:w="858" w:type="pct"/>
            <w:shd w:val="clear" w:color="auto" w:fill="8DB3E2"/>
            <w:tcMar>
              <w:left w:w="0" w:type="dxa"/>
              <w:right w:w="0" w:type="dxa"/>
            </w:tcMar>
            <w:vAlign w:val="center"/>
          </w:tcPr>
          <w:p w14:paraId="0893A0FD" w14:textId="77777777" w:rsidR="00AC610F" w:rsidRPr="00703977" w:rsidRDefault="00AC610F" w:rsidP="001236EE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/>
                <w:lang w:eastAsia="pl-PL"/>
              </w:rPr>
            </w:pPr>
            <w:r w:rsidRPr="00703977">
              <w:rPr>
                <w:rFonts w:ascii="Neo Sans Pro" w:eastAsia="Times New Roman" w:hAnsi="Neo Sans Pro"/>
                <w:b/>
                <w:lang w:eastAsia="pl-PL"/>
              </w:rPr>
              <w:t>Treść uwagi lub wniosku</w:t>
            </w:r>
          </w:p>
        </w:tc>
        <w:tc>
          <w:tcPr>
            <w:tcW w:w="1623" w:type="pct"/>
            <w:shd w:val="clear" w:color="auto" w:fill="8DB3E2"/>
            <w:tcMar>
              <w:left w:w="0" w:type="dxa"/>
              <w:right w:w="0" w:type="dxa"/>
            </w:tcMar>
            <w:vAlign w:val="center"/>
          </w:tcPr>
          <w:p w14:paraId="2293C2C8" w14:textId="77777777" w:rsidR="00AC610F" w:rsidRPr="00703977" w:rsidRDefault="00AC610F" w:rsidP="001236EE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/>
                <w:lang w:eastAsia="pl-PL"/>
              </w:rPr>
            </w:pPr>
            <w:r w:rsidRPr="00703977">
              <w:rPr>
                <w:rFonts w:ascii="Neo Sans Pro" w:eastAsia="Times New Roman" w:hAnsi="Neo Sans Pro"/>
                <w:b/>
                <w:lang w:eastAsia="pl-PL"/>
              </w:rPr>
              <w:t>Uzasadnienie</w:t>
            </w:r>
          </w:p>
        </w:tc>
        <w:tc>
          <w:tcPr>
            <w:tcW w:w="1623" w:type="pct"/>
            <w:shd w:val="clear" w:color="auto" w:fill="8DB3E2"/>
            <w:vAlign w:val="center"/>
          </w:tcPr>
          <w:p w14:paraId="4A3F41A4" w14:textId="65B6C555" w:rsidR="00AC610F" w:rsidRPr="00703977" w:rsidRDefault="00AC610F" w:rsidP="001236EE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/>
                <w:lang w:eastAsia="pl-PL"/>
              </w:rPr>
            </w:pPr>
            <w:r>
              <w:rPr>
                <w:rFonts w:ascii="Neo Sans Pro" w:eastAsia="Times New Roman" w:hAnsi="Neo Sans Pro"/>
                <w:b/>
                <w:lang w:eastAsia="pl-PL"/>
              </w:rPr>
              <w:t>Sposób odniesienia</w:t>
            </w:r>
          </w:p>
        </w:tc>
      </w:tr>
      <w:bookmarkEnd w:id="0"/>
      <w:tr w:rsidR="00AC610F" w:rsidRPr="00703977" w14:paraId="7068E5FD" w14:textId="77C61D4C" w:rsidTr="00AC610F">
        <w:trPr>
          <w:trHeight w:val="1449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4E511EBB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1.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1914D523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 9</w:t>
            </w:r>
          </w:p>
          <w:p w14:paraId="4F415417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Rozdział 2.1.3.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1843CEEC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hAnsi="Neo Sans Pro" w:cs="Arial"/>
                <w:bCs/>
              </w:rPr>
              <w:t>Skrót - CAFE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7C660208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Nie ma w wykazie skrótów oryginalnej nazwy po angielsku</w:t>
            </w:r>
          </w:p>
        </w:tc>
        <w:tc>
          <w:tcPr>
            <w:tcW w:w="1623" w:type="pct"/>
            <w:vAlign w:val="center"/>
          </w:tcPr>
          <w:p w14:paraId="065EDBF5" w14:textId="5B8C0315" w:rsidR="00AC610F" w:rsidRPr="00607B22" w:rsidRDefault="00607B22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>
              <w:rPr>
                <w:rFonts w:ascii="Neo Sans Pro" w:eastAsia="Times New Roman" w:hAnsi="Neo Sans Pro" w:cs="Arial"/>
                <w:bCs/>
                <w:lang w:eastAsia="pl-PL"/>
              </w:rPr>
              <w:t>Dodano do wykazu skrótów</w:t>
            </w:r>
          </w:p>
        </w:tc>
      </w:tr>
      <w:tr w:rsidR="00AC610F" w:rsidRPr="00703977" w14:paraId="6A73FC50" w14:textId="0028F67D" w:rsidTr="00AC610F">
        <w:trPr>
          <w:trHeight w:val="1591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034C0922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2.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17071853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 11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063CD9C3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Użycie skrótu SOR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677ABB65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Nie ma go w wykazie skrótów</w:t>
            </w:r>
          </w:p>
        </w:tc>
        <w:tc>
          <w:tcPr>
            <w:tcW w:w="1623" w:type="pct"/>
            <w:vAlign w:val="center"/>
          </w:tcPr>
          <w:p w14:paraId="3E84BA87" w14:textId="3E0A2437" w:rsidR="00AC610F" w:rsidRPr="00607B22" w:rsidRDefault="003934CC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>
              <w:rPr>
                <w:rFonts w:ascii="Neo Sans Pro" w:eastAsia="Times New Roman" w:hAnsi="Neo Sans Pro" w:cs="Arial"/>
                <w:bCs/>
                <w:lang w:eastAsia="pl-PL"/>
              </w:rPr>
              <w:t>Dodano do wykazu skrótów</w:t>
            </w:r>
          </w:p>
        </w:tc>
      </w:tr>
      <w:tr w:rsidR="00AC610F" w:rsidRPr="00703977" w14:paraId="71D5D6D7" w14:textId="04F4B1D4" w:rsidTr="00AC610F">
        <w:trPr>
          <w:trHeight w:val="1591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7EA3751B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3.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5FD08A29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 19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5E5142C0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Program Rewitalizacji Gminy Miasta Radomia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6E7AA341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Dokument został uchylony uchwałą z 2022 r - 686 czy istnieje konieczność powoływania się na niego</w:t>
            </w:r>
          </w:p>
        </w:tc>
        <w:tc>
          <w:tcPr>
            <w:tcW w:w="1623" w:type="pct"/>
            <w:vAlign w:val="center"/>
          </w:tcPr>
          <w:p w14:paraId="3A56B947" w14:textId="5ECC17B8" w:rsidR="00AC610F" w:rsidRPr="00607B22" w:rsidRDefault="00607B22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>
              <w:rPr>
                <w:rFonts w:ascii="Neo Sans Pro" w:eastAsia="Times New Roman" w:hAnsi="Neo Sans Pro" w:cs="Arial"/>
                <w:bCs/>
                <w:lang w:eastAsia="pl-PL"/>
              </w:rPr>
              <w:t>Usunięto</w:t>
            </w:r>
          </w:p>
        </w:tc>
      </w:tr>
      <w:tr w:rsidR="00AC610F" w:rsidRPr="00703977" w14:paraId="416BB37D" w14:textId="2C0EB987" w:rsidTr="00AC610F">
        <w:trPr>
          <w:trHeight w:val="1591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339FFB67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4.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1B7C7DA8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 19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11ED4457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Brak informacji o przyjętej w roku 2022r. Strategii dalszego rozwoju Gminy Miasta Radomia – Radom 2030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56637AD2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 xml:space="preserve">Za zasadne jest odniesienie się do dokumentu jakim jest </w:t>
            </w:r>
            <w:bookmarkStart w:id="1" w:name="_Hlk131456861"/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Strategii dalszego rozwoju Gminy Miasta Radomia – Radom 2030</w:t>
            </w:r>
            <w:bookmarkEnd w:id="1"/>
          </w:p>
        </w:tc>
        <w:tc>
          <w:tcPr>
            <w:tcW w:w="1623" w:type="pct"/>
            <w:vAlign w:val="center"/>
          </w:tcPr>
          <w:p w14:paraId="4BF036A0" w14:textId="2247F9DC" w:rsidR="00AC610F" w:rsidRPr="00607B22" w:rsidRDefault="003934CC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>
              <w:rPr>
                <w:rFonts w:ascii="Neo Sans Pro" w:eastAsia="Times New Roman" w:hAnsi="Neo Sans Pro" w:cs="Arial"/>
                <w:bCs/>
                <w:lang w:eastAsia="pl-PL"/>
              </w:rPr>
              <w:t>Dodano</w:t>
            </w:r>
          </w:p>
        </w:tc>
      </w:tr>
      <w:tr w:rsidR="00AC610F" w:rsidRPr="00703977" w14:paraId="63DCB760" w14:textId="596C7602" w:rsidTr="00AC610F">
        <w:trPr>
          <w:trHeight w:val="1597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5BD19D26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lastRenderedPageBreak/>
              <w:t>5.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1386935F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 31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2CD071D0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Lista FIRM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53AB0B48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Ani nie jest alfabetycznie podana, ani nie ma żadnych kryteriów</w:t>
            </w:r>
          </w:p>
        </w:tc>
        <w:tc>
          <w:tcPr>
            <w:tcW w:w="1623" w:type="pct"/>
            <w:vAlign w:val="center"/>
          </w:tcPr>
          <w:p w14:paraId="30F81B6C" w14:textId="292C9974" w:rsidR="00AC610F" w:rsidRPr="00607B22" w:rsidRDefault="003934CC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>
              <w:rPr>
                <w:rFonts w:ascii="Neo Sans Pro" w:eastAsia="Times New Roman" w:hAnsi="Neo Sans Pro" w:cs="Arial"/>
                <w:bCs/>
                <w:lang w:eastAsia="pl-PL"/>
              </w:rPr>
              <w:t>Ułożono alfabetycznie</w:t>
            </w:r>
          </w:p>
        </w:tc>
      </w:tr>
      <w:tr w:rsidR="00AC610F" w:rsidRPr="00703977" w14:paraId="4D4B35B5" w14:textId="3940B8E7" w:rsidTr="00AC610F">
        <w:trPr>
          <w:trHeight w:val="1597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2573BF22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6.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64784C59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Str.54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7615D9BB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Nieaktualna tabela nr 25-</w:t>
            </w:r>
            <w:r w:rsidRPr="00AC610F">
              <w:rPr>
                <w:rFonts w:ascii="Neo Sans Pro" w:hAnsi="Neo Sans Pro" w:cs="Arial"/>
                <w:bCs/>
              </w:rPr>
              <w:t>Planowane przez RADPEC zadania z zakresu rozbudowy sieci cieplnej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3F4ECE40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Dane w tabeli na rok 2022 i 2023 są puste- powinny być zaktualizowane</w:t>
            </w:r>
          </w:p>
        </w:tc>
        <w:tc>
          <w:tcPr>
            <w:tcW w:w="1623" w:type="pct"/>
            <w:vAlign w:val="center"/>
          </w:tcPr>
          <w:p w14:paraId="03025861" w14:textId="79528BD6" w:rsidR="00AC610F" w:rsidRPr="00607B22" w:rsidRDefault="003934CC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>
              <w:rPr>
                <w:rFonts w:ascii="Neo Sans Pro" w:eastAsia="Times New Roman" w:hAnsi="Neo Sans Pro" w:cs="Arial"/>
                <w:bCs/>
                <w:lang w:eastAsia="pl-PL"/>
              </w:rPr>
              <w:t>Podmieniono tabelę na aktualną</w:t>
            </w:r>
          </w:p>
        </w:tc>
      </w:tr>
      <w:tr w:rsidR="00AC610F" w:rsidRPr="00703977" w14:paraId="40370701" w14:textId="0C052848" w:rsidTr="00AC610F">
        <w:trPr>
          <w:trHeight w:val="1597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59582D08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7.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26C4624D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Str.61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56FBE802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Tabela nr 29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19006BDF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Niesformatowana tabela</w:t>
            </w:r>
          </w:p>
        </w:tc>
        <w:tc>
          <w:tcPr>
            <w:tcW w:w="1623" w:type="pct"/>
            <w:vAlign w:val="center"/>
          </w:tcPr>
          <w:p w14:paraId="3CE6F7A0" w14:textId="6DA2D130" w:rsidR="00AC610F" w:rsidRPr="00607B22" w:rsidRDefault="003934CC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>
              <w:rPr>
                <w:rFonts w:ascii="Neo Sans Pro" w:eastAsia="Times New Roman" w:hAnsi="Neo Sans Pro" w:cs="Arial"/>
                <w:bCs/>
                <w:lang w:eastAsia="pl-PL"/>
              </w:rPr>
              <w:t>Sformatowano</w:t>
            </w:r>
          </w:p>
        </w:tc>
      </w:tr>
      <w:tr w:rsidR="00AC610F" w:rsidRPr="00703977" w14:paraId="251D9EFF" w14:textId="03B678B4" w:rsidTr="00AC610F">
        <w:trPr>
          <w:trHeight w:val="1597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1A1485A9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8.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20586523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Str.68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7A2CA0CA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hAnsi="Neo Sans Pro" w:cs="Arial"/>
                <w:bCs/>
              </w:rPr>
              <w:t>Tabela 39. Zużycie gazu w poszczególnych grupach taryfowych w latach 2018 - 2020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1D21649D" w14:textId="77777777" w:rsidR="00AC610F" w:rsidRPr="00AC610F" w:rsidRDefault="00AC610F" w:rsidP="00F956B9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Jeśli jest to aktualizacja to dane powinny być już za rok 2021, 2024</w:t>
            </w:r>
          </w:p>
        </w:tc>
        <w:tc>
          <w:tcPr>
            <w:tcW w:w="1623" w:type="pct"/>
            <w:vAlign w:val="center"/>
          </w:tcPr>
          <w:p w14:paraId="0A4155CE" w14:textId="2D6EB739" w:rsidR="00AC610F" w:rsidRPr="00607B22" w:rsidRDefault="003934CC" w:rsidP="00F956B9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>
              <w:rPr>
                <w:rFonts w:ascii="Neo Sans Pro" w:eastAsia="Times New Roman" w:hAnsi="Neo Sans Pro" w:cs="Arial"/>
                <w:bCs/>
                <w:lang w:eastAsia="pl-PL"/>
              </w:rPr>
              <w:t>Dodano dane za 2021 rok</w:t>
            </w:r>
          </w:p>
        </w:tc>
      </w:tr>
      <w:tr w:rsidR="00AC610F" w:rsidRPr="00703977" w14:paraId="74F73F1C" w14:textId="07856D19" w:rsidTr="00AC610F">
        <w:trPr>
          <w:trHeight w:val="1597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7C696CCE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9.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738028AC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  81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16A548D8" w14:textId="77777777" w:rsidR="00AC610F" w:rsidRPr="00AC610F" w:rsidRDefault="00AC610F" w:rsidP="007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Calibri"/>
                <w:bCs/>
                <w:lang w:eastAsia="pl-PL"/>
              </w:rPr>
            </w:pPr>
            <w:r w:rsidRPr="00AC610F">
              <w:rPr>
                <w:rFonts w:ascii="Neo Sans Pro" w:hAnsi="Neo Sans Pro" w:cs="Calibri"/>
                <w:bCs/>
                <w:lang w:eastAsia="pl-PL"/>
              </w:rPr>
              <w:t>Dalsze zastępowanie rosyjskiego gazu przyspieszy rozwój ram regulacyjnych promujących europejski rynek wodoru, wsparcie rozwoju zintegrowanej</w:t>
            </w:r>
          </w:p>
          <w:p w14:paraId="5DE851C5" w14:textId="77777777" w:rsidR="00AC610F" w:rsidRPr="00AC610F" w:rsidRDefault="00AC610F" w:rsidP="007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</w:rPr>
            </w:pPr>
            <w:r w:rsidRPr="00AC610F">
              <w:rPr>
                <w:rFonts w:ascii="Neo Sans Pro" w:hAnsi="Neo Sans Pro" w:cs="Calibri"/>
                <w:bCs/>
                <w:lang w:eastAsia="pl-PL"/>
              </w:rPr>
              <w:t xml:space="preserve">infrastruktury gazowej i wodorowej, magazynów </w:t>
            </w:r>
            <w:r w:rsidRPr="00AC610F">
              <w:rPr>
                <w:rFonts w:ascii="Neo Sans Pro" w:hAnsi="Neo Sans Pro" w:cs="Calibri"/>
                <w:bCs/>
                <w:lang w:eastAsia="pl-PL"/>
              </w:rPr>
              <w:lastRenderedPageBreak/>
              <w:t>i portów w ramach inicjatywy europejskiej inicjatywy na rzecz wodoru.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3495E176" w14:textId="77777777" w:rsidR="00AC610F" w:rsidRPr="00AC610F" w:rsidRDefault="00AC610F" w:rsidP="00F9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bookmarkStart w:id="2" w:name="_Hlk131454930"/>
            <w:r w:rsidRPr="00AC610F">
              <w:rPr>
                <w:rFonts w:ascii="Neo Sans Pro" w:hAnsi="Neo Sans Pro" w:cs="Calibri"/>
                <w:bCs/>
                <w:lang w:eastAsia="pl-PL"/>
              </w:rPr>
              <w:lastRenderedPageBreak/>
              <w:t>Dalsze zastępowanie rosyjskiego gazu przyspieszy rozwój ram regulacyjnych promujących europejski rynek wodoru, wsparcie rozwoju zintegrowanej infrastruktury gazowej i wodorowej, magazynów i portów w ramach europejskiej inicjatywy na rzecz wodoru.</w:t>
            </w:r>
            <w:bookmarkEnd w:id="2"/>
          </w:p>
        </w:tc>
        <w:tc>
          <w:tcPr>
            <w:tcW w:w="1623" w:type="pct"/>
            <w:vAlign w:val="center"/>
          </w:tcPr>
          <w:p w14:paraId="24B70078" w14:textId="2DB41559" w:rsidR="00AC610F" w:rsidRPr="00607B22" w:rsidRDefault="003934CC" w:rsidP="00F9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Calibri"/>
                <w:bCs/>
                <w:lang w:eastAsia="pl-PL"/>
              </w:rPr>
            </w:pPr>
            <w:r>
              <w:rPr>
                <w:rFonts w:ascii="Neo Sans Pro" w:hAnsi="Neo Sans Pro" w:cs="Calibri"/>
                <w:bCs/>
                <w:lang w:eastAsia="pl-PL"/>
              </w:rPr>
              <w:t>Skorygowano</w:t>
            </w:r>
          </w:p>
        </w:tc>
      </w:tr>
      <w:tr w:rsidR="00AC610F" w:rsidRPr="00703977" w14:paraId="0AC4E422" w14:textId="1B99D1C4" w:rsidTr="00AC610F">
        <w:trPr>
          <w:trHeight w:val="1597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4C3D0DCE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9.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5D4782C2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 82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1B702E09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  <w:r w:rsidRPr="00AC610F">
              <w:rPr>
                <w:rFonts w:ascii="Neo Sans Pro" w:hAnsi="Neo Sans Pro" w:cs="Arial"/>
                <w:bCs/>
              </w:rPr>
              <w:t>„Wodór ma prawie trzy razy więcej energii niż paliwa kopalne”</w:t>
            </w:r>
          </w:p>
          <w:p w14:paraId="39A2D5C7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</w:p>
          <w:p w14:paraId="36F00A36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</w:p>
          <w:p w14:paraId="31C48811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  <w:r w:rsidRPr="00AC610F">
              <w:rPr>
                <w:rFonts w:ascii="Neo Sans Pro" w:hAnsi="Neo Sans Pro" w:cs="Arial"/>
                <w:bCs/>
              </w:rPr>
              <w:t>„Zbiorniki na sprężony wodór mogą magazynować energię”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5BA4D4D5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Powinno być: „</w:t>
            </w:r>
            <w:bookmarkStart w:id="3" w:name="_Hlk131454985"/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Spalanie wodoru daje trzy razy więcej energii</w:t>
            </w:r>
            <w:bookmarkEnd w:id="3"/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” albo wodór w reakcji z tlenem wytwarza trzy razy więcej energii</w:t>
            </w:r>
          </w:p>
          <w:p w14:paraId="5D85D55B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</w:p>
          <w:p w14:paraId="7256E610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hAnsi="Neo Sans Pro" w:cs="Arial"/>
                <w:bCs/>
              </w:rPr>
              <w:t>Powinno być: Ogniwa wodorowe mogą magazynować energię</w:t>
            </w:r>
          </w:p>
        </w:tc>
        <w:tc>
          <w:tcPr>
            <w:tcW w:w="1623" w:type="pct"/>
            <w:vAlign w:val="center"/>
          </w:tcPr>
          <w:p w14:paraId="7710FB54" w14:textId="4E9A2800" w:rsidR="00AC610F" w:rsidRPr="00607B22" w:rsidRDefault="003934CC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>
              <w:rPr>
                <w:rFonts w:ascii="Neo Sans Pro" w:eastAsia="Times New Roman" w:hAnsi="Neo Sans Pro" w:cs="Arial"/>
                <w:bCs/>
                <w:lang w:eastAsia="pl-PL"/>
              </w:rPr>
              <w:t>Skorygowano</w:t>
            </w:r>
          </w:p>
        </w:tc>
      </w:tr>
      <w:tr w:rsidR="00AC610F" w:rsidRPr="00703977" w14:paraId="698E52FD" w14:textId="6186CF62" w:rsidTr="00AC610F">
        <w:trPr>
          <w:trHeight w:val="1597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3E70AA9E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10.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034E4712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Str.89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6D091E94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  <w:r w:rsidRPr="00AC610F">
              <w:rPr>
                <w:rFonts w:ascii="Neo Sans Pro" w:hAnsi="Neo Sans Pro" w:cs="Arial"/>
                <w:bCs/>
              </w:rPr>
              <w:t xml:space="preserve">Tytuł: „7.4. Prognoza zapotrzebowania w </w:t>
            </w:r>
            <w:proofErr w:type="gramStart"/>
            <w:r w:rsidRPr="00AC610F">
              <w:rPr>
                <w:rFonts w:ascii="Neo Sans Pro" w:hAnsi="Neo Sans Pro" w:cs="Arial"/>
                <w:bCs/>
                <w:color w:val="FF0000"/>
                <w:u w:val="single"/>
              </w:rPr>
              <w:t>ciepła</w:t>
            </w:r>
            <w:r w:rsidRPr="00AC610F">
              <w:rPr>
                <w:rFonts w:ascii="Neo Sans Pro" w:hAnsi="Neo Sans Pro" w:cs="Arial"/>
                <w:bCs/>
              </w:rPr>
              <w:t xml:space="preserve"> ,</w:t>
            </w:r>
            <w:proofErr w:type="gramEnd"/>
            <w:r w:rsidRPr="00AC610F">
              <w:rPr>
                <w:rFonts w:ascii="Neo Sans Pro" w:hAnsi="Neo Sans Pro" w:cs="Arial"/>
                <w:bCs/>
              </w:rPr>
              <w:t xml:space="preserve"> energie elektryczną i paliwa</w:t>
            </w:r>
            <w:r w:rsidRPr="00AC610F">
              <w:rPr>
                <w:rFonts w:ascii="Neo Sans Pro" w:hAnsi="Neo Sans Pro" w:cs="Arial"/>
                <w:bCs/>
              </w:rPr>
              <w:br/>
              <w:t>gazowe”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11E717F2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Powinno być:</w:t>
            </w:r>
            <w:r w:rsidRPr="00AC610F">
              <w:rPr>
                <w:rFonts w:ascii="Neo Sans Pro" w:hAnsi="Neo Sans Pro" w:cs="Arial"/>
                <w:bCs/>
              </w:rPr>
              <w:t xml:space="preserve"> Prognoza zapotrzebowania w </w:t>
            </w:r>
            <w:r w:rsidRPr="00AC610F">
              <w:rPr>
                <w:rFonts w:ascii="Neo Sans Pro" w:hAnsi="Neo Sans Pro" w:cs="Arial"/>
                <w:bCs/>
                <w:color w:val="4472C4"/>
                <w:u w:val="single"/>
              </w:rPr>
              <w:t>ciepło</w:t>
            </w:r>
            <w:r w:rsidRPr="00AC610F">
              <w:rPr>
                <w:rFonts w:ascii="Neo Sans Pro" w:hAnsi="Neo Sans Pro" w:cs="Arial"/>
                <w:bCs/>
              </w:rPr>
              <w:t>, energie elektryczną i paliwa</w:t>
            </w:r>
            <w:r w:rsidRPr="00AC610F">
              <w:rPr>
                <w:rFonts w:ascii="Neo Sans Pro" w:hAnsi="Neo Sans Pro" w:cs="Arial"/>
                <w:bCs/>
              </w:rPr>
              <w:br/>
              <w:t>gazowe”</w:t>
            </w:r>
          </w:p>
        </w:tc>
        <w:tc>
          <w:tcPr>
            <w:tcW w:w="1623" w:type="pct"/>
            <w:vAlign w:val="center"/>
          </w:tcPr>
          <w:p w14:paraId="0BCEC4D6" w14:textId="370DE7B2" w:rsidR="00AC610F" w:rsidRPr="00607B22" w:rsidRDefault="003934CC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>
              <w:rPr>
                <w:rFonts w:ascii="Neo Sans Pro" w:eastAsia="Times New Roman" w:hAnsi="Neo Sans Pro" w:cs="Arial"/>
                <w:bCs/>
                <w:lang w:eastAsia="pl-PL"/>
              </w:rPr>
              <w:t>Skorygowano</w:t>
            </w:r>
          </w:p>
        </w:tc>
      </w:tr>
      <w:tr w:rsidR="00AC610F" w:rsidRPr="008C760F" w14:paraId="41C9C2D6" w14:textId="1661FE3E" w:rsidTr="00AC610F">
        <w:trPr>
          <w:trHeight w:val="1597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141296F8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11.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28366084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 92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4921792D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  <w:r w:rsidRPr="00AC610F">
              <w:rPr>
                <w:rFonts w:ascii="Neo Sans Pro" w:hAnsi="Neo Sans Pro" w:cs="Arial"/>
                <w:bCs/>
              </w:rPr>
              <w:t>Jak widać z powyższych tabel w różnych latach budynki w zależności od typu muszą spełniać</w:t>
            </w:r>
            <w:r w:rsidRPr="00AC610F">
              <w:rPr>
                <w:rFonts w:ascii="Neo Sans Pro" w:hAnsi="Neo Sans Pro" w:cs="Arial"/>
                <w:bCs/>
              </w:rPr>
              <w:br/>
              <w:t>odpowiednie standardy energooszczędności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2432894B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eastAsia="Times New Roman" w:hAnsi="Neo Sans Pro" w:cs="Arial"/>
                <w:bCs/>
                <w:lang w:eastAsia="pl-PL"/>
              </w:rPr>
              <w:t>Należy doprecyzować, czy chodzi również o stare budynki czy tylko o nowe?</w:t>
            </w:r>
          </w:p>
        </w:tc>
        <w:tc>
          <w:tcPr>
            <w:tcW w:w="1623" w:type="pct"/>
            <w:vAlign w:val="center"/>
          </w:tcPr>
          <w:p w14:paraId="4863425A" w14:textId="7E6654E7" w:rsidR="00AC610F" w:rsidRPr="00607B22" w:rsidRDefault="003934CC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>
              <w:rPr>
                <w:rFonts w:ascii="Neo Sans Pro" w:eastAsia="Times New Roman" w:hAnsi="Neo Sans Pro" w:cs="Arial"/>
                <w:bCs/>
                <w:lang w:eastAsia="pl-PL"/>
              </w:rPr>
              <w:t>Sprecyzowano, że chodzi o nowe budynki</w:t>
            </w:r>
          </w:p>
        </w:tc>
      </w:tr>
      <w:tr w:rsidR="00AC610F" w:rsidRPr="00703977" w14:paraId="6135A9C5" w14:textId="22F54885" w:rsidTr="00AC610F">
        <w:trPr>
          <w:trHeight w:val="1597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7444553E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12.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7C8732FE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 93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69BC23B2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  <w:r w:rsidRPr="00AC610F">
              <w:rPr>
                <w:rFonts w:ascii="Neo Sans Pro" w:hAnsi="Neo Sans Pro" w:cs="Arial"/>
                <w:bCs/>
              </w:rPr>
              <w:t>„</w:t>
            </w:r>
            <w:proofErr w:type="gramStart"/>
            <w:r w:rsidRPr="00AC610F">
              <w:rPr>
                <w:rFonts w:ascii="Neo Sans Pro" w:hAnsi="Neo Sans Pro" w:cs="Arial"/>
                <w:bCs/>
              </w:rPr>
              <w:t>nie dostosowania</w:t>
            </w:r>
            <w:proofErr w:type="gramEnd"/>
            <w:r w:rsidRPr="00AC610F">
              <w:rPr>
                <w:rFonts w:ascii="Neo Sans Pro" w:hAnsi="Neo Sans Pro" w:cs="Arial"/>
                <w:bCs/>
              </w:rPr>
              <w:t>”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71B25361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AC610F">
              <w:rPr>
                <w:rFonts w:ascii="Neo Sans Pro" w:hAnsi="Neo Sans Pro" w:cs="Arial"/>
                <w:bCs/>
              </w:rPr>
              <w:t>Niedostosowania – piszemy razem</w:t>
            </w:r>
          </w:p>
        </w:tc>
        <w:tc>
          <w:tcPr>
            <w:tcW w:w="1623" w:type="pct"/>
            <w:vAlign w:val="center"/>
          </w:tcPr>
          <w:p w14:paraId="36EBD748" w14:textId="17C6DAA2" w:rsidR="00AC610F" w:rsidRPr="00607B22" w:rsidRDefault="003934CC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Skorygowano</w:t>
            </w:r>
          </w:p>
        </w:tc>
      </w:tr>
      <w:tr w:rsidR="00AC610F" w:rsidRPr="00703977" w14:paraId="4925B5AF" w14:textId="10AEAB24" w:rsidTr="00AC610F">
        <w:trPr>
          <w:trHeight w:val="1597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62BEDC61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lastRenderedPageBreak/>
              <w:t>13.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4F197211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 96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1E39E78B" w14:textId="77777777" w:rsidR="00AC610F" w:rsidRPr="00AC610F" w:rsidRDefault="00AC610F" w:rsidP="007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</w:rPr>
            </w:pPr>
            <w:r w:rsidRPr="00AC610F">
              <w:rPr>
                <w:rFonts w:ascii="Neo Sans Pro" w:hAnsi="Neo Sans Pro" w:cs="Arial"/>
                <w:bCs/>
                <w:lang w:eastAsia="pl-PL"/>
              </w:rPr>
              <w:t>Wyniki prognozowania zapotrzebowania na energię elektryczną przedstawiono w poniższej tabeli poniżej.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2E749285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  <w:r w:rsidRPr="00AC610F">
              <w:rPr>
                <w:rFonts w:ascii="Neo Sans Pro" w:hAnsi="Neo Sans Pro" w:cs="Arial"/>
                <w:bCs/>
                <w:lang w:eastAsia="pl-PL"/>
              </w:rPr>
              <w:t>Wyniki prognozowania zapotrzebowania na energię elektryczną przedstawiono w tabeli poniżej.</w:t>
            </w:r>
          </w:p>
        </w:tc>
        <w:tc>
          <w:tcPr>
            <w:tcW w:w="1623" w:type="pct"/>
            <w:vAlign w:val="center"/>
          </w:tcPr>
          <w:p w14:paraId="17E85095" w14:textId="480D4BC4" w:rsidR="00AC610F" w:rsidRPr="00607B22" w:rsidRDefault="003934CC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  <w:lang w:eastAsia="pl-PL"/>
              </w:rPr>
            </w:pPr>
            <w:r>
              <w:rPr>
                <w:rFonts w:ascii="Neo Sans Pro" w:hAnsi="Neo Sans Pro" w:cs="Arial"/>
                <w:bCs/>
                <w:lang w:eastAsia="pl-PL"/>
              </w:rPr>
              <w:t>Skorygowano</w:t>
            </w:r>
          </w:p>
        </w:tc>
      </w:tr>
      <w:tr w:rsidR="00AC610F" w:rsidRPr="00703977" w14:paraId="673FEA76" w14:textId="46682910" w:rsidTr="00AC610F">
        <w:trPr>
          <w:trHeight w:val="1597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46B7CB59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14.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1400E7D5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 99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01CA8956" w14:textId="77777777" w:rsidR="00AC610F" w:rsidRPr="00AC610F" w:rsidRDefault="00AC610F" w:rsidP="007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  <w:lang w:eastAsia="pl-PL"/>
              </w:rPr>
            </w:pPr>
            <w:r w:rsidRPr="00AC610F">
              <w:rPr>
                <w:rFonts w:ascii="Neo Sans Pro" w:hAnsi="Neo Sans Pro" w:cs="Arial"/>
                <w:bCs/>
                <w:lang w:eastAsia="pl-PL"/>
              </w:rPr>
              <w:t>Prognozy zapotrzebowania na paliwa gazowe biorą pod uwagę fakt, że gaz jest jednym z paliw wykorzystywanych do pozyskania ciepła. Aby uniknąć duplikowania zapotrzebowania na</w:t>
            </w:r>
          </w:p>
          <w:p w14:paraId="52034923" w14:textId="77777777" w:rsidR="00AC610F" w:rsidRPr="00AC610F" w:rsidRDefault="00AC610F" w:rsidP="007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  <w:lang w:eastAsia="pl-PL"/>
              </w:rPr>
            </w:pPr>
            <w:r w:rsidRPr="00AC610F">
              <w:rPr>
                <w:rFonts w:ascii="Neo Sans Pro" w:hAnsi="Neo Sans Pro" w:cs="Arial"/>
                <w:bCs/>
                <w:lang w:eastAsia="pl-PL"/>
              </w:rPr>
              <w:t>ciepło i nie zafałszować wyników w prognozie wydzielono część paliw gazowych, które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63199397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  <w:lang w:eastAsia="pl-PL"/>
              </w:rPr>
            </w:pPr>
            <w:r w:rsidRPr="00AC610F">
              <w:rPr>
                <w:rFonts w:ascii="Neo Sans Pro" w:hAnsi="Neo Sans Pro" w:cs="Arial"/>
                <w:bCs/>
                <w:lang w:eastAsia="pl-PL"/>
              </w:rPr>
              <w:t xml:space="preserve">Z tekstu </w:t>
            </w:r>
            <w:proofErr w:type="gramStart"/>
            <w:r w:rsidRPr="00AC610F">
              <w:rPr>
                <w:rFonts w:ascii="Neo Sans Pro" w:hAnsi="Neo Sans Pro" w:cs="Arial"/>
                <w:bCs/>
                <w:lang w:eastAsia="pl-PL"/>
              </w:rPr>
              <w:t>wynika</w:t>
            </w:r>
            <w:proofErr w:type="gramEnd"/>
            <w:r w:rsidRPr="00AC610F">
              <w:rPr>
                <w:rFonts w:ascii="Neo Sans Pro" w:hAnsi="Neo Sans Pro" w:cs="Arial"/>
                <w:bCs/>
                <w:lang w:eastAsia="pl-PL"/>
              </w:rPr>
              <w:t xml:space="preserve"> iż tekst został urwany</w:t>
            </w:r>
          </w:p>
        </w:tc>
        <w:tc>
          <w:tcPr>
            <w:tcW w:w="1623" w:type="pct"/>
            <w:vAlign w:val="center"/>
          </w:tcPr>
          <w:p w14:paraId="24FC28D9" w14:textId="251E39BA" w:rsidR="00AC610F" w:rsidRPr="00607B22" w:rsidRDefault="003934CC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  <w:lang w:eastAsia="pl-PL"/>
              </w:rPr>
            </w:pPr>
            <w:r>
              <w:rPr>
                <w:rFonts w:ascii="Neo Sans Pro" w:hAnsi="Neo Sans Pro" w:cs="Arial"/>
                <w:bCs/>
                <w:lang w:eastAsia="pl-PL"/>
              </w:rPr>
              <w:t>Uzupełniono brakujący tekst</w:t>
            </w:r>
          </w:p>
        </w:tc>
      </w:tr>
      <w:tr w:rsidR="00AC610F" w:rsidRPr="00703977" w14:paraId="026684B4" w14:textId="78B7E518" w:rsidTr="00AC610F">
        <w:trPr>
          <w:trHeight w:val="1597"/>
          <w:jc w:val="center"/>
        </w:trPr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1A128C35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/>
                <w:bCs/>
                <w:smallCaps/>
                <w:lang w:eastAsia="pl-PL"/>
              </w:rPr>
            </w:pPr>
            <w:r w:rsidRPr="003934CC">
              <w:rPr>
                <w:rFonts w:ascii="Neo Sans Pro" w:eastAsia="Times New Roman" w:hAnsi="Neo Sans Pro"/>
                <w:bCs/>
                <w:smallCaps/>
                <w:lang w:eastAsia="pl-PL"/>
              </w:rPr>
              <w:t>15.</w:t>
            </w:r>
          </w:p>
        </w:tc>
        <w:tc>
          <w:tcPr>
            <w:tcW w:w="717" w:type="pct"/>
            <w:tcMar>
              <w:left w:w="0" w:type="dxa"/>
              <w:right w:w="0" w:type="dxa"/>
            </w:tcMar>
            <w:vAlign w:val="center"/>
          </w:tcPr>
          <w:p w14:paraId="549990D7" w14:textId="77777777" w:rsidR="00AC610F" w:rsidRPr="003934CC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eastAsia="Times New Roman" w:hAnsi="Neo Sans Pro" w:cs="Arial"/>
                <w:bCs/>
                <w:lang w:eastAsia="pl-PL"/>
              </w:rPr>
            </w:pPr>
            <w:r w:rsidRPr="003934CC">
              <w:rPr>
                <w:rFonts w:ascii="Neo Sans Pro" w:eastAsia="Times New Roman" w:hAnsi="Neo Sans Pro" w:cs="Arial"/>
                <w:bCs/>
                <w:lang w:eastAsia="pl-PL"/>
              </w:rPr>
              <w:t>Str. 125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14:paraId="22565BCD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  <w:r w:rsidRPr="00AC610F">
              <w:rPr>
                <w:rFonts w:ascii="Neo Sans Pro" w:hAnsi="Neo Sans Pro" w:cs="Arial"/>
                <w:bCs/>
              </w:rPr>
              <w:t>agregat kogeneracyjny LIEBHER</w:t>
            </w:r>
          </w:p>
        </w:tc>
        <w:tc>
          <w:tcPr>
            <w:tcW w:w="1623" w:type="pct"/>
            <w:tcMar>
              <w:left w:w="0" w:type="dxa"/>
              <w:right w:w="0" w:type="dxa"/>
            </w:tcMar>
            <w:vAlign w:val="center"/>
          </w:tcPr>
          <w:p w14:paraId="660C9D30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  <w:r w:rsidRPr="00AC610F">
              <w:rPr>
                <w:rFonts w:ascii="Neo Sans Pro" w:hAnsi="Neo Sans Pro" w:cs="Arial"/>
                <w:bCs/>
              </w:rPr>
              <w:t>Zła nazwa firmy: podwójne „RR”</w:t>
            </w:r>
          </w:p>
          <w:p w14:paraId="0CF732DA" w14:textId="77777777" w:rsidR="00AC610F" w:rsidRPr="00AC610F" w:rsidRDefault="00AC610F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  <w:r w:rsidRPr="00AC610F">
              <w:rPr>
                <w:rFonts w:ascii="Neo Sans Pro" w:hAnsi="Neo Sans Pro" w:cs="Arial"/>
                <w:bCs/>
              </w:rPr>
              <w:t>LIEBHE</w:t>
            </w:r>
            <w:r w:rsidRPr="00AC610F">
              <w:rPr>
                <w:rFonts w:ascii="Neo Sans Pro" w:hAnsi="Neo Sans Pro" w:cs="Arial"/>
                <w:bCs/>
                <w:color w:val="4472C4"/>
                <w:u w:val="single"/>
              </w:rPr>
              <w:t>RR</w:t>
            </w:r>
          </w:p>
        </w:tc>
        <w:tc>
          <w:tcPr>
            <w:tcW w:w="1623" w:type="pct"/>
            <w:vAlign w:val="center"/>
          </w:tcPr>
          <w:p w14:paraId="41DCC8DF" w14:textId="623E07B9" w:rsidR="00AC610F" w:rsidRPr="00607B22" w:rsidRDefault="003934CC" w:rsidP="00703977">
            <w:pPr>
              <w:spacing w:after="0" w:line="23" w:lineRule="atLeast"/>
              <w:contextualSpacing/>
              <w:jc w:val="center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Skorygowano</w:t>
            </w:r>
          </w:p>
        </w:tc>
      </w:tr>
    </w:tbl>
    <w:p w14:paraId="31FDA703" w14:textId="77777777" w:rsidR="008C59C8" w:rsidRPr="008C59C8" w:rsidRDefault="008C59C8" w:rsidP="00F956B9">
      <w:pPr>
        <w:spacing w:after="0" w:line="360" w:lineRule="auto"/>
        <w:contextualSpacing/>
        <w:jc w:val="both"/>
        <w:rPr>
          <w:rFonts w:ascii="Neo Sans Pro" w:hAnsi="Neo Sans Pro"/>
          <w:color w:val="000000"/>
          <w:sz w:val="24"/>
          <w:szCs w:val="24"/>
        </w:rPr>
      </w:pPr>
    </w:p>
    <w:sectPr w:rsidR="008C59C8" w:rsidRPr="008C59C8" w:rsidSect="00F956B9">
      <w:headerReference w:type="even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4885" w14:textId="77777777" w:rsidR="00057F83" w:rsidRDefault="00057F83" w:rsidP="00F650B8">
      <w:pPr>
        <w:spacing w:after="0" w:line="240" w:lineRule="auto"/>
      </w:pPr>
      <w:r>
        <w:separator/>
      </w:r>
    </w:p>
  </w:endnote>
  <w:endnote w:type="continuationSeparator" w:id="0">
    <w:p w14:paraId="2439DD1A" w14:textId="77777777" w:rsidR="00057F83" w:rsidRDefault="00057F83" w:rsidP="00F6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3D20" w14:textId="77777777" w:rsidR="00F650B8" w:rsidRPr="00C5670D" w:rsidRDefault="00F650B8" w:rsidP="00A663E7">
    <w:pPr>
      <w:tabs>
        <w:tab w:val="left" w:pos="1309"/>
      </w:tabs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B92B" w14:textId="77777777" w:rsidR="00057F83" w:rsidRDefault="00057F83" w:rsidP="00F650B8">
      <w:pPr>
        <w:spacing w:after="0" w:line="240" w:lineRule="auto"/>
      </w:pPr>
      <w:r>
        <w:separator/>
      </w:r>
    </w:p>
  </w:footnote>
  <w:footnote w:type="continuationSeparator" w:id="0">
    <w:p w14:paraId="4596C134" w14:textId="77777777" w:rsidR="00057F83" w:rsidRDefault="00057F83" w:rsidP="00F6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26C4" w14:textId="77777777" w:rsidR="00A663E7" w:rsidRDefault="00E21AB0">
    <w:pPr>
      <w:pStyle w:val="Nagwek"/>
    </w:pPr>
    <w:r>
      <w:rPr>
        <w:noProof/>
      </w:rPr>
      <w:pict w14:anchorId="4F74F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00266" o:spid="_x0000_s103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tło skupieni na2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7FC"/>
    <w:multiLevelType w:val="hybridMultilevel"/>
    <w:tmpl w:val="94923BB6"/>
    <w:lvl w:ilvl="0" w:tplc="3F9A61B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1A11"/>
    <w:multiLevelType w:val="hybridMultilevel"/>
    <w:tmpl w:val="D0AC0042"/>
    <w:lvl w:ilvl="0" w:tplc="249CD8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3B82"/>
    <w:multiLevelType w:val="hybridMultilevel"/>
    <w:tmpl w:val="1FEE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4251"/>
    <w:multiLevelType w:val="hybridMultilevel"/>
    <w:tmpl w:val="D554B98C"/>
    <w:lvl w:ilvl="0" w:tplc="9A203A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929"/>
    <w:multiLevelType w:val="hybridMultilevel"/>
    <w:tmpl w:val="BCFE1168"/>
    <w:lvl w:ilvl="0" w:tplc="3508E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C26B19"/>
    <w:multiLevelType w:val="hybridMultilevel"/>
    <w:tmpl w:val="F282F1EE"/>
    <w:lvl w:ilvl="0" w:tplc="9A203A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6CD3"/>
    <w:multiLevelType w:val="hybridMultilevel"/>
    <w:tmpl w:val="57F84EFC"/>
    <w:lvl w:ilvl="0" w:tplc="9A203A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433448">
    <w:abstractNumId w:val="5"/>
  </w:num>
  <w:num w:numId="2" w16cid:durableId="77531111">
    <w:abstractNumId w:val="3"/>
  </w:num>
  <w:num w:numId="3" w16cid:durableId="1666858676">
    <w:abstractNumId w:val="6"/>
  </w:num>
  <w:num w:numId="4" w16cid:durableId="1285816746">
    <w:abstractNumId w:val="4"/>
  </w:num>
  <w:num w:numId="5" w16cid:durableId="161512314">
    <w:abstractNumId w:val="1"/>
  </w:num>
  <w:num w:numId="6" w16cid:durableId="1415783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0934334">
    <w:abstractNumId w:val="2"/>
  </w:num>
  <w:num w:numId="8" w16cid:durableId="94202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B8"/>
    <w:rsid w:val="00002660"/>
    <w:rsid w:val="00045A96"/>
    <w:rsid w:val="00057F83"/>
    <w:rsid w:val="00072651"/>
    <w:rsid w:val="00091E51"/>
    <w:rsid w:val="000D4CD1"/>
    <w:rsid w:val="000F054E"/>
    <w:rsid w:val="000F3753"/>
    <w:rsid w:val="00100DAE"/>
    <w:rsid w:val="0011213E"/>
    <w:rsid w:val="001235E4"/>
    <w:rsid w:val="001236EE"/>
    <w:rsid w:val="0015010C"/>
    <w:rsid w:val="00184287"/>
    <w:rsid w:val="00191890"/>
    <w:rsid w:val="001A2B9C"/>
    <w:rsid w:val="001A4AB3"/>
    <w:rsid w:val="001B41E8"/>
    <w:rsid w:val="001F04EF"/>
    <w:rsid w:val="002508AE"/>
    <w:rsid w:val="002C0400"/>
    <w:rsid w:val="002C5B28"/>
    <w:rsid w:val="002F3DD8"/>
    <w:rsid w:val="003934CC"/>
    <w:rsid w:val="003C5E5A"/>
    <w:rsid w:val="003F0CD6"/>
    <w:rsid w:val="00402D3E"/>
    <w:rsid w:val="00406EA4"/>
    <w:rsid w:val="00430F1D"/>
    <w:rsid w:val="00460DEB"/>
    <w:rsid w:val="00481E6A"/>
    <w:rsid w:val="00487C7F"/>
    <w:rsid w:val="004C0164"/>
    <w:rsid w:val="0053276E"/>
    <w:rsid w:val="005423EA"/>
    <w:rsid w:val="005948BB"/>
    <w:rsid w:val="005A2EFF"/>
    <w:rsid w:val="00607B22"/>
    <w:rsid w:val="0062350C"/>
    <w:rsid w:val="00641507"/>
    <w:rsid w:val="006E0E11"/>
    <w:rsid w:val="007026D8"/>
    <w:rsid w:val="00703977"/>
    <w:rsid w:val="007472B2"/>
    <w:rsid w:val="0078667E"/>
    <w:rsid w:val="00796E34"/>
    <w:rsid w:val="007F515B"/>
    <w:rsid w:val="00801158"/>
    <w:rsid w:val="0082290B"/>
    <w:rsid w:val="008553EC"/>
    <w:rsid w:val="008709C1"/>
    <w:rsid w:val="00881F0C"/>
    <w:rsid w:val="00895C16"/>
    <w:rsid w:val="008C59C8"/>
    <w:rsid w:val="008C760F"/>
    <w:rsid w:val="00905E05"/>
    <w:rsid w:val="00934231"/>
    <w:rsid w:val="00966A89"/>
    <w:rsid w:val="00993F84"/>
    <w:rsid w:val="00A10A55"/>
    <w:rsid w:val="00A178C3"/>
    <w:rsid w:val="00A20864"/>
    <w:rsid w:val="00A619C1"/>
    <w:rsid w:val="00A663E7"/>
    <w:rsid w:val="00A70FBA"/>
    <w:rsid w:val="00A72255"/>
    <w:rsid w:val="00AC610F"/>
    <w:rsid w:val="00AE1AEE"/>
    <w:rsid w:val="00AF2D66"/>
    <w:rsid w:val="00B04EF5"/>
    <w:rsid w:val="00B201B8"/>
    <w:rsid w:val="00B4126E"/>
    <w:rsid w:val="00B61342"/>
    <w:rsid w:val="00B62A8E"/>
    <w:rsid w:val="00BA3178"/>
    <w:rsid w:val="00BD6340"/>
    <w:rsid w:val="00BE7BE9"/>
    <w:rsid w:val="00C041A7"/>
    <w:rsid w:val="00C5670D"/>
    <w:rsid w:val="00C70C6D"/>
    <w:rsid w:val="00C76156"/>
    <w:rsid w:val="00C81A88"/>
    <w:rsid w:val="00C84BD7"/>
    <w:rsid w:val="00CA151A"/>
    <w:rsid w:val="00CB5D1F"/>
    <w:rsid w:val="00CC0E7E"/>
    <w:rsid w:val="00CC5F0C"/>
    <w:rsid w:val="00CD6E78"/>
    <w:rsid w:val="00CF402C"/>
    <w:rsid w:val="00CF4560"/>
    <w:rsid w:val="00D11C3A"/>
    <w:rsid w:val="00D32341"/>
    <w:rsid w:val="00D35AC7"/>
    <w:rsid w:val="00D53961"/>
    <w:rsid w:val="00D6365B"/>
    <w:rsid w:val="00D865B6"/>
    <w:rsid w:val="00DB17BF"/>
    <w:rsid w:val="00DC132D"/>
    <w:rsid w:val="00DD201E"/>
    <w:rsid w:val="00E12846"/>
    <w:rsid w:val="00E21AB0"/>
    <w:rsid w:val="00E31B71"/>
    <w:rsid w:val="00E402F2"/>
    <w:rsid w:val="00E47205"/>
    <w:rsid w:val="00E50E3B"/>
    <w:rsid w:val="00E65D57"/>
    <w:rsid w:val="00E73DA4"/>
    <w:rsid w:val="00EA1088"/>
    <w:rsid w:val="00EA5FF5"/>
    <w:rsid w:val="00EB0A1B"/>
    <w:rsid w:val="00F04F4B"/>
    <w:rsid w:val="00F13FE4"/>
    <w:rsid w:val="00F650B8"/>
    <w:rsid w:val="00F7021D"/>
    <w:rsid w:val="00F956B9"/>
    <w:rsid w:val="00FA0B0F"/>
    <w:rsid w:val="00FA1073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14273"/>
  <w15:chartTrackingRefBased/>
  <w15:docId w15:val="{E028AED8-483D-40AE-8AAF-71FA4533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9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50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50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50B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60DE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ormal,BulletC,Numerowanie,Wyliczanie,Obiekt,Akapit z listą31,Bullets,normalny tekst,Kolorowa lista — akcent 11,normalny,Akapit z listą21,Punktator,Resume Title,Citation List,Ha,Body,List Paragraph_Table bullets,spot_jks,L1"/>
    <w:basedOn w:val="Normalny"/>
    <w:link w:val="AkapitzlistZnak"/>
    <w:uiPriority w:val="34"/>
    <w:qFormat/>
    <w:rsid w:val="00460DEB"/>
    <w:pPr>
      <w:spacing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0DEB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Normal Znak,BulletC Znak,Numerowanie Znak,Wyliczanie Znak,Obiekt Znak,Akapit z listą31 Znak,Bullets Znak,normalny tekst Znak,Kolorowa lista — akcent 11 Znak,normalny Znak,Akapit z listą21 Znak,Punktator Znak,Resume Title Znak,Ha Znak"/>
    <w:link w:val="Akapitzlist"/>
    <w:uiPriority w:val="34"/>
    <w:qFormat/>
    <w:locked/>
    <w:rsid w:val="00E40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1069-46C5-401C-B451-4BDA4931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KWIECIEŃ</dc:creator>
  <cp:keywords/>
  <dc:description/>
  <cp:lastModifiedBy>Paulina Kwiecień</cp:lastModifiedBy>
  <cp:revision>2</cp:revision>
  <cp:lastPrinted>2023-03-15T07:43:00Z</cp:lastPrinted>
  <dcterms:created xsi:type="dcterms:W3CDTF">2023-04-07T08:22:00Z</dcterms:created>
  <dcterms:modified xsi:type="dcterms:W3CDTF">2023-04-07T08:22:00Z</dcterms:modified>
</cp:coreProperties>
</file>